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pPr>
      <w:r>
        <w:rPr>
          <w:b/>
          <w:bCs/>
          <w:color w:val="2E6E64"/>
          <w:sz w:val="18"/>
          <w:szCs w:val="18"/>
        </w:rPr>
        <w:t xml:space="preserve">UK CARE WORLD</w:t>
      </w:r>
    </w:p>
    <w:p>
      <w:pPr>
        <w:spacing w:after="60"/>
      </w:pPr>
      <w:r>
        <w:rPr>
          <w:b/>
          <w:bCs/>
          <w:color w:val="1C3A38"/>
          <w:sz w:val="40"/>
          <w:szCs w:val="40"/>
        </w:rPr>
        <w:t xml:space="preserve">Infection Prevention &amp; Control Policy</w:t>
      </w:r>
    </w:p>
    <w:p>
      <w:pPr>
        <w:spacing w:after="240"/>
      </w:pPr>
      <w:r>
        <w:rPr>
          <w:i/>
          <w:iCs/>
          <w:color w:val="41605C"/>
          <w:sz w:val="18"/>
          <w:szCs w:val="18"/>
        </w:rPr>
        <w:t xml:space="preserve">Template — adapt to your service's own procedures before use</w:t>
      </w:r>
    </w:p>
    <w:p>
      <w:pPr>
        <w:spacing w:after="100" w:before="200"/>
      </w:pPr>
      <w:r>
        <w:rPr>
          <w:b/>
          <w:bCs/>
          <w:color w:val="2E6E64"/>
          <w:sz w:val="24"/>
          <w:szCs w:val="24"/>
        </w:rPr>
        <w:t xml:space="preserve">Purpose</w:t>
      </w:r>
    </w:p>
    <w:p>
      <w:pPr>
        <w:spacing w:after="100"/>
      </w:pPr>
      <w:r>
        <w:rPr>
          <w:i w:val="false"/>
          <w:iCs w:val="false"/>
          <w:color w:val="1C3A38"/>
          <w:sz w:val="20"/>
          <w:szCs w:val="20"/>
        </w:rPr>
        <w:t xml:space="preserve">This policy sets out how [Organisation Name] prevents and controls the spread of infection, to protect the people we support, our staff, and visitors.</w:t>
      </w:r>
    </w:p>
    <w:p>
      <w:pPr>
        <w:spacing w:after="100" w:before="200"/>
      </w:pPr>
      <w:r>
        <w:rPr>
          <w:b/>
          <w:bCs/>
          <w:color w:val="2E6E64"/>
          <w:sz w:val="24"/>
          <w:szCs w:val="24"/>
        </w:rPr>
        <w:t xml:space="preserve">Standard Precautions</w:t>
      </w:r>
    </w:p>
    <w:p>
      <w:pPr>
        <w:pStyle w:val="ListParagraph"/>
        <w:numPr>
          <w:ilvl w:val="0"/>
          <w:numId w:val="1"/>
        </w:numPr>
        <w:spacing w:after="60"/>
      </w:pPr>
      <w:r>
        <w:rPr>
          <w:color w:val="1C3A38"/>
          <w:sz w:val="20"/>
          <w:szCs w:val="20"/>
        </w:rPr>
        <w:t xml:space="preserve">Wash hands thoroughly before and after every care task, and use hand sanitiser where handwashing isn't immediately possible</w:t>
      </w:r>
    </w:p>
    <w:p>
      <w:pPr>
        <w:pStyle w:val="ListParagraph"/>
        <w:numPr>
          <w:ilvl w:val="0"/>
          <w:numId w:val="1"/>
        </w:numPr>
        <w:spacing w:after="60"/>
      </w:pPr>
      <w:r>
        <w:rPr>
          <w:color w:val="1C3A38"/>
          <w:sz w:val="20"/>
          <w:szCs w:val="20"/>
        </w:rPr>
        <w:t xml:space="preserve">Wear appropriate personal protective equipment (PPE) for the task, and dispose of it correctly after use</w:t>
      </w:r>
    </w:p>
    <w:p>
      <w:pPr>
        <w:pStyle w:val="ListParagraph"/>
        <w:numPr>
          <w:ilvl w:val="0"/>
          <w:numId w:val="1"/>
        </w:numPr>
        <w:spacing w:after="60"/>
      </w:pPr>
      <w:r>
        <w:rPr>
          <w:color w:val="1C3A38"/>
          <w:sz w:val="20"/>
          <w:szCs w:val="20"/>
        </w:rPr>
        <w:t xml:space="preserve">Cover any cuts or grazes with a waterproof dressing before starting care tasks</w:t>
      </w:r>
    </w:p>
    <w:p>
      <w:pPr>
        <w:pStyle w:val="ListParagraph"/>
        <w:numPr>
          <w:ilvl w:val="0"/>
          <w:numId w:val="1"/>
        </w:numPr>
        <w:spacing w:after="60"/>
      </w:pPr>
      <w:r>
        <w:rPr>
          <w:color w:val="1C3A38"/>
          <w:sz w:val="20"/>
          <w:szCs w:val="20"/>
        </w:rPr>
        <w:t xml:space="preserve">Clean and disinfect equipment and surfaces regularly, and immediately after any spillage of bodily fluids</w:t>
      </w:r>
    </w:p>
    <w:p>
      <w:pPr>
        <w:pStyle w:val="ListParagraph"/>
        <w:numPr>
          <w:ilvl w:val="0"/>
          <w:numId w:val="1"/>
        </w:numPr>
        <w:spacing w:after="60"/>
      </w:pPr>
      <w:r>
        <w:rPr>
          <w:color w:val="1C3A38"/>
          <w:sz w:val="20"/>
          <w:szCs w:val="20"/>
        </w:rPr>
        <w:t xml:space="preserve">Handle, store and dispose of laundry and waste according to colour-coded procedures</w:t>
      </w:r>
    </w:p>
    <w:p>
      <w:pPr>
        <w:spacing w:after="100" w:before="200"/>
      </w:pPr>
      <w:r>
        <w:rPr>
          <w:b/>
          <w:bCs/>
          <w:color w:val="2E6E64"/>
          <w:sz w:val="24"/>
          <w:szCs w:val="24"/>
        </w:rPr>
        <w:t xml:space="preserve">Personal Protective Equipment (PPE)</w:t>
      </w:r>
    </w:p>
    <w:p>
      <w:pPr>
        <w:spacing w:after="100"/>
      </w:pPr>
      <w:r>
        <w:rPr>
          <w:i w:val="false"/>
          <w:iCs w:val="false"/>
          <w:color w:val="1C3A38"/>
          <w:sz w:val="20"/>
          <w:szCs w:val="20"/>
        </w:rPr>
        <w:t xml:space="preserve">PPE (gloves, aprons, and where appropriate masks and eye protection) must be available at the point of use, and staff must be trained in when and how to use it correctly.</w:t>
      </w:r>
    </w:p>
    <w:p>
      <w:pPr>
        <w:spacing w:after="100" w:before="200"/>
      </w:pPr>
      <w:r>
        <w:rPr>
          <w:b/>
          <w:bCs/>
          <w:color w:val="2E6E64"/>
          <w:sz w:val="24"/>
          <w:szCs w:val="24"/>
        </w:rPr>
        <w:t xml:space="preserve">Managing an Outbreak</w:t>
      </w:r>
    </w:p>
    <w:p>
      <w:pPr>
        <w:spacing w:after="100"/>
      </w:pPr>
      <w:r>
        <w:rPr>
          <w:i w:val="false"/>
          <w:iCs w:val="false"/>
          <w:color w:val="1C3A38"/>
          <w:sz w:val="20"/>
          <w:szCs w:val="20"/>
        </w:rPr>
        <w:t xml:space="preserve">If two or more people show symptoms of the same infectious illness within a short period, staff must notify their manager immediately. See the separate Outbreak Management Plan for full procedure, including isolation, enhanced cleaning, and notifying relevant health authorities.</w:t>
      </w:r>
    </w:p>
    <w:p>
      <w:pPr>
        <w:spacing w:after="100" w:before="200"/>
      </w:pPr>
      <w:r>
        <w:rPr>
          <w:b/>
          <w:bCs/>
          <w:color w:val="2E6E64"/>
          <w:sz w:val="24"/>
          <w:szCs w:val="24"/>
        </w:rPr>
        <w:t xml:space="preserve">Immunisation</w:t>
      </w:r>
    </w:p>
    <w:p>
      <w:pPr>
        <w:spacing w:after="100"/>
      </w:pPr>
      <w:r>
        <w:rPr>
          <w:i w:val="false"/>
          <w:iCs w:val="false"/>
          <w:color w:val="1C3A38"/>
          <w:sz w:val="20"/>
          <w:szCs w:val="20"/>
        </w:rPr>
        <w:t xml:space="preserve">Staff are encouraged to keep routine and seasonal immunisations (such as influenza) up to date, in line with current public health guidance for the care sector.</w:t>
      </w:r>
    </w:p>
    <w:p>
      <w:pPr>
        <w:spacing w:after="100" w:before="200"/>
      </w:pPr>
      <w:r>
        <w:rPr>
          <w:b/>
          <w:bCs/>
          <w:color w:val="2E6E64"/>
          <w:sz w:val="24"/>
          <w:szCs w:val="24"/>
        </w:rPr>
        <w:t xml:space="preserve">Responsibilities</w:t>
      </w:r>
    </w:p>
    <w:p>
      <w:pPr>
        <w:spacing w:after="120"/>
      </w:pPr>
      <w:r>
        <w:rPr>
          <w:b/>
          <w:bCs/>
          <w:color w:val="1C3A38"/>
          <w:sz w:val="20"/>
          <w:szCs w:val="20"/>
        </w:rPr>
        <w:t xml:space="preserve">Infection Prevention &amp; Control Lead: </w:t>
      </w:r>
      <w:r>
        <w:rPr>
          <w:color w:val="999999"/>
          <w:sz w:val="20"/>
          <w:szCs w:val="20"/>
        </w:rPr>
        <w:t xml:space="preserve">_______________________________________________</w:t>
      </w:r>
    </w:p>
    <w:p>
      <w:pPr>
        <w:spacing w:after="100"/>
      </w:pPr>
      <w:r>
        <w:rPr>
          <w:i w:val="false"/>
          <w:iCs w:val="false"/>
          <w:color w:val="1C3A38"/>
          <w:sz w:val="20"/>
          <w:szCs w:val="20"/>
        </w:rPr>
        <w:t xml:space="preserve">All staff receive infection control training at induction, refreshed at least annually.</w:t>
      </w:r>
    </w:p>
    <w:p>
      <w:pPr>
        <w:spacing w:after="100" w:before="200"/>
      </w:pPr>
      <w:r>
        <w:rPr>
          <w:b/>
          <w:bCs/>
          <w:color w:val="2E6E64"/>
          <w:sz w:val="24"/>
          <w:szCs w:val="24"/>
        </w:rPr>
        <w:t xml:space="preserve">Related Legislation &amp; Guidance</w:t>
      </w:r>
    </w:p>
    <w:p>
      <w:pPr>
        <w:pStyle w:val="ListParagraph"/>
        <w:numPr>
          <w:ilvl w:val="0"/>
          <w:numId w:val="1"/>
        </w:numPr>
        <w:spacing w:after="60"/>
      </w:pPr>
      <w:r>
        <w:rPr>
          <w:color w:val="1C3A38"/>
          <w:sz w:val="20"/>
          <w:szCs w:val="20"/>
        </w:rPr>
        <w:t xml:space="preserve">Health and Social Care Act 2008: Code of Practice on the prevention and control of infections</w:t>
      </w:r>
    </w:p>
    <w:p>
      <w:pPr>
        <w:pStyle w:val="ListParagraph"/>
        <w:numPr>
          <w:ilvl w:val="0"/>
          <w:numId w:val="1"/>
        </w:numPr>
        <w:spacing w:after="60"/>
      </w:pPr>
      <w:r>
        <w:rPr>
          <w:color w:val="1C3A38"/>
          <w:sz w:val="20"/>
          <w:szCs w:val="20"/>
        </w:rPr>
        <w:t xml:space="preserve">Health and Safety at Work etc. Act 1974</w:t>
      </w:r>
    </w:p>
    <w:p>
      <w:pPr>
        <w:pStyle w:val="ListParagraph"/>
        <w:numPr>
          <w:ilvl w:val="0"/>
          <w:numId w:val="1"/>
        </w:numPr>
        <w:spacing w:after="60"/>
      </w:pPr>
      <w:r>
        <w:rPr>
          <w:color w:val="1C3A38"/>
          <w:sz w:val="20"/>
          <w:szCs w:val="20"/>
        </w:rPr>
        <w:t xml:space="preserve">UK Health Security Agency (UKHSA) guidance</w:t>
      </w:r>
    </w:p>
    <w:p>
      <w:pPr>
        <w:spacing w:after="100" w:before="200"/>
      </w:pPr>
      <w:r>
        <w:rPr>
          <w:b/>
          <w:bCs/>
          <w:color w:val="2E6E64"/>
          <w:sz w:val="24"/>
          <w:szCs w:val="24"/>
        </w:rPr>
        <w:t xml:space="preserve">Review</w:t>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gridCol w:w="100"/>
      </w:tblGrid>
      <w:tr>
        <w:tc>
          <w:tcPr>
            <w:tcW w:type="dxa" w:w="2200"/>
            <w:shd w:fill="F2F6F4" w:val="clear"/>
            <w:tcMar>
              <w:top w:type="dxa" w:w="100"/>
              <w:left w:type="dxa" w:w="120"/>
              <w:bottom w:type="dxa" w:w="100"/>
              <w:right w:type="dxa" w:w="120"/>
            </w:tcMar>
          </w:tcPr>
          <w:p>
            <w:r>
              <w:rPr>
                <w:b/>
                <w:bCs/>
                <w:color w:val="1C3A38"/>
                <w:sz w:val="18"/>
                <w:szCs w:val="18"/>
              </w:rPr>
              <w:t xml:space="preserve">Policy owner:</w:t>
            </w:r>
          </w:p>
        </w:tc>
        <w:tc>
          <w:tcPr>
            <w:tcW w:type="dxa" w:w="2800"/>
            <w:tcMar>
              <w:top w:type="dxa" w:w="100"/>
              <w:left w:type="dxa" w:w="120"/>
              <w:bottom w:type="dxa" w:w="100"/>
              <w:right w:type="dxa" w:w="120"/>
            </w:tcMar>
          </w:tcPr>
          <w:p>
            <w:r>
              <w:rPr>
                <w:b w:val="false"/>
                <w:bCs w:val="false"/>
                <w:color w:val="1C3A38"/>
                <w:sz w:val="18"/>
                <w:szCs w:val="18"/>
              </w:rPr>
              <w:t xml:space="preserve"/>
            </w:r>
          </w:p>
        </w:tc>
        <w:tc>
          <w:tcPr>
            <w:tcW w:type="dxa" w:w="1800"/>
            <w:shd w:fill="F2F6F4" w:val="clear"/>
            <w:tcMar>
              <w:top w:type="dxa" w:w="100"/>
              <w:left w:type="dxa" w:w="120"/>
              <w:bottom w:type="dxa" w:w="100"/>
              <w:right w:type="dxa" w:w="120"/>
            </w:tcMar>
          </w:tcPr>
          <w:p>
            <w:r>
              <w:rPr>
                <w:b/>
                <w:bCs/>
                <w:color w:val="1C3A38"/>
                <w:sz w:val="18"/>
                <w:szCs w:val="18"/>
              </w:rPr>
              <w:t xml:space="preserve">Version:</w:t>
            </w:r>
          </w:p>
        </w:tc>
        <w:tc>
          <w:tcPr>
            <w:tcW w:type="dxa" w:w="2200"/>
            <w:tcMar>
              <w:top w:type="dxa" w:w="100"/>
              <w:left w:type="dxa" w:w="120"/>
              <w:bottom w:type="dxa" w:w="100"/>
              <w:right w:type="dxa" w:w="120"/>
            </w:tcMar>
          </w:tcPr>
          <w:p>
            <w:r>
              <w:rPr>
                <w:b w:val="false"/>
                <w:bCs w:val="false"/>
                <w:color w:val="1C3A38"/>
                <w:sz w:val="18"/>
                <w:szCs w:val="18"/>
              </w:rPr>
              <w:t xml:space="preserve">1.0</w:t>
            </w:r>
          </w:p>
        </w:tc>
      </w:tr>
      <w:tr>
        <w:tc>
          <w:tcPr>
            <w:tcW w:type="dxa" w:w="2200"/>
            <w:shd w:fill="F2F6F4" w:val="clear"/>
            <w:tcMar>
              <w:top w:type="dxa" w:w="100"/>
              <w:left w:type="dxa" w:w="120"/>
              <w:bottom w:type="dxa" w:w="100"/>
              <w:right w:type="dxa" w:w="120"/>
            </w:tcMar>
          </w:tcPr>
          <w:p>
            <w:r>
              <w:rPr>
                <w:b/>
                <w:bCs/>
                <w:color w:val="1C3A38"/>
                <w:sz w:val="18"/>
                <w:szCs w:val="18"/>
              </w:rPr>
              <w:t xml:space="preserve">Date approved:</w:t>
            </w:r>
          </w:p>
        </w:tc>
        <w:tc>
          <w:tcPr>
            <w:tcW w:type="dxa" w:w="2800"/>
            <w:tcMar>
              <w:top w:type="dxa" w:w="100"/>
              <w:left w:type="dxa" w:w="120"/>
              <w:bottom w:type="dxa" w:w="100"/>
              <w:right w:type="dxa" w:w="120"/>
            </w:tcMar>
          </w:tcPr>
          <w:p>
            <w:r>
              <w:rPr>
                <w:b w:val="false"/>
                <w:bCs w:val="false"/>
                <w:color w:val="1C3A38"/>
                <w:sz w:val="18"/>
                <w:szCs w:val="18"/>
              </w:rPr>
              <w:t xml:space="preserve"/>
            </w:r>
          </w:p>
        </w:tc>
        <w:tc>
          <w:tcPr>
            <w:tcW w:type="dxa" w:w="1800"/>
            <w:shd w:fill="F2F6F4" w:val="clear"/>
            <w:tcMar>
              <w:top w:type="dxa" w:w="100"/>
              <w:left w:type="dxa" w:w="120"/>
              <w:bottom w:type="dxa" w:w="100"/>
              <w:right w:type="dxa" w:w="120"/>
            </w:tcMar>
          </w:tcPr>
          <w:p>
            <w:r>
              <w:rPr>
                <w:b/>
                <w:bCs/>
                <w:color w:val="1C3A38"/>
                <w:sz w:val="18"/>
                <w:szCs w:val="18"/>
              </w:rPr>
              <w:t xml:space="preserve">Next review:</w:t>
            </w:r>
          </w:p>
        </w:tc>
        <w:tc>
          <w:tcPr>
            <w:tcW w:type="dxa" w:w="2200"/>
            <w:tcMar>
              <w:top w:type="dxa" w:w="100"/>
              <w:left w:type="dxa" w:w="120"/>
              <w:bottom w:type="dxa" w:w="100"/>
              <w:right w:type="dxa" w:w="120"/>
            </w:tcMar>
          </w:tcPr>
          <w:p>
            <w:r>
              <w:rPr>
                <w:b w:val="false"/>
                <w:bCs w:val="false"/>
                <w:color w:val="1C3A38"/>
                <w:sz w:val="18"/>
                <w:szCs w:val="18"/>
              </w:rPr>
              <w:t xml:space="preserve"/>
            </w:r>
          </w:p>
        </w:tc>
      </w:tr>
    </w:tbl>
    <w:sectPr>
      <w:pgSz w:w="11906" w:h="16838" w:orient="portrait"/>
      <w:pgMar w:top="900" w:right="900" w:bottom="900" w:left="9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2026-07-24T20:39:14.725Z</dcterms:created>
  <dcterms:modified xsi:type="dcterms:W3CDTF">2026-07-24T20:39:14.725Z</dcterms:modified>
</cp:coreProperties>
</file>

<file path=docProps/custom.xml><?xml version="1.0" encoding="utf-8"?>
<Properties xmlns="http://schemas.openxmlformats.org/officeDocument/2006/custom-properties" xmlns:vt="http://schemas.openxmlformats.org/officeDocument/2006/docPropsVTypes"/>
</file>