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E6E64"/>
          <w:sz w:val="18"/>
          <w:szCs w:val="18"/>
        </w:rPr>
        <w:t xml:space="preserve">UK CARE WORLD</w:t>
      </w:r>
    </w:p>
    <w:p>
      <w:pPr>
        <w:spacing w:after="60"/>
      </w:pPr>
      <w:r>
        <w:rPr>
          <w:b/>
          <w:bCs/>
          <w:color w:val="1C3A38"/>
          <w:sz w:val="40"/>
          <w:szCs w:val="40"/>
        </w:rPr>
        <w:t xml:space="preserve">Medication Management Policy</w:t>
      </w:r>
    </w:p>
    <w:p>
      <w:pPr>
        <w:spacing w:after="240"/>
      </w:pPr>
      <w:r>
        <w:rPr>
          <w:i/>
          <w:iCs/>
          <w:color w:val="41605C"/>
          <w:sz w:val="18"/>
          <w:szCs w:val="18"/>
        </w:rPr>
        <w:t xml:space="preserve">Template — adapt to your service's own procedures before use</w:t>
      </w:r>
    </w:p>
    <w:p>
      <w:pPr>
        <w:spacing w:after="100" w:before="200"/>
      </w:pPr>
      <w:r>
        <w:rPr>
          <w:b/>
          <w:bCs/>
          <w:color w:val="2E6E64"/>
          <w:sz w:val="24"/>
          <w:szCs w:val="24"/>
        </w:rPr>
        <w:t xml:space="preserve">Purpose</w:t>
      </w:r>
    </w:p>
    <w:p>
      <w:pPr>
        <w:spacing w:after="100"/>
      </w:pPr>
      <w:r>
        <w:rPr>
          <w:i w:val="false"/>
          <w:iCs w:val="false"/>
          <w:color w:val="1C3A38"/>
          <w:sz w:val="20"/>
          <w:szCs w:val="20"/>
        </w:rPr>
        <w:t xml:space="preserve">This policy sets out how medication is prescribed, administered, stored, recorded and disposed of safely within [Organisation Name], to protect the people we support and the staff who assist them.</w:t>
      </w:r>
    </w:p>
    <w:p>
      <w:pPr>
        <w:spacing w:after="100" w:before="200"/>
      </w:pPr>
      <w:r>
        <w:rPr>
          <w:b/>
          <w:bCs/>
          <w:color w:val="2E6E64"/>
          <w:sz w:val="24"/>
          <w:szCs w:val="24"/>
        </w:rPr>
        <w:t xml:space="preserve">Scope</w:t>
      </w:r>
    </w:p>
    <w:p>
      <w:pPr>
        <w:spacing w:after="100"/>
      </w:pPr>
      <w:r>
        <w:rPr>
          <w:i w:val="false"/>
          <w:iCs w:val="false"/>
          <w:color w:val="1C3A38"/>
          <w:sz w:val="20"/>
          <w:szCs w:val="20"/>
        </w:rPr>
        <w:t xml:space="preserve">This applies to all staff involved in any stage of medication support, including prompting, administering, ordering, storing or disposing of medication.</w:t>
      </w:r>
    </w:p>
    <w:p>
      <w:pPr>
        <w:spacing w:after="100" w:before="200"/>
      </w:pPr>
      <w:r>
        <w:rPr>
          <w:b/>
          <w:bCs/>
          <w:color w:val="2E6E64"/>
          <w:sz w:val="24"/>
          <w:szCs w:val="24"/>
        </w:rPr>
        <w:t xml:space="preserve">Principles</w:t>
      </w:r>
    </w:p>
    <w:p>
      <w:pPr>
        <w:pStyle w:val="ListParagraph"/>
        <w:numPr>
          <w:ilvl w:val="0"/>
          <w:numId w:val="1"/>
        </w:numPr>
        <w:spacing w:after="60"/>
      </w:pPr>
      <w:r>
        <w:rPr>
          <w:color w:val="1C3A38"/>
          <w:sz w:val="20"/>
          <w:szCs w:val="20"/>
        </w:rPr>
        <w:t xml:space="preserve">Medication is only administered by staff who have completed medication training and had their competency assessed</w:t>
      </w:r>
    </w:p>
    <w:p>
      <w:pPr>
        <w:pStyle w:val="ListParagraph"/>
        <w:numPr>
          <w:ilvl w:val="0"/>
          <w:numId w:val="1"/>
        </w:numPr>
        <w:spacing w:after="60"/>
      </w:pPr>
      <w:r>
        <w:rPr>
          <w:color w:val="1C3A38"/>
          <w:sz w:val="20"/>
          <w:szCs w:val="20"/>
        </w:rPr>
        <w:t xml:space="preserve">Every administration (or reason for non-administration) is recorded on the Medication Administration Record (MAR) at the time it happens</w:t>
      </w:r>
    </w:p>
    <w:p>
      <w:pPr>
        <w:pStyle w:val="ListParagraph"/>
        <w:numPr>
          <w:ilvl w:val="0"/>
          <w:numId w:val="1"/>
        </w:numPr>
        <w:spacing w:after="60"/>
      </w:pPr>
      <w:r>
        <w:rPr>
          <w:color w:val="1C3A38"/>
          <w:sz w:val="20"/>
          <w:szCs w:val="20"/>
        </w:rPr>
        <w:t xml:space="preserve">Medication is always given in line with the prescriber's instructions and the individual's care plan</w:t>
      </w:r>
    </w:p>
    <w:p>
      <w:pPr>
        <w:pStyle w:val="ListParagraph"/>
        <w:numPr>
          <w:ilvl w:val="0"/>
          <w:numId w:val="1"/>
        </w:numPr>
        <w:spacing w:after="60"/>
      </w:pPr>
      <w:r>
        <w:rPr>
          <w:color w:val="1C3A38"/>
          <w:sz w:val="20"/>
          <w:szCs w:val="20"/>
        </w:rPr>
        <w:t xml:space="preserve">PRN ("as required") medication includes clear guidance on when and how it should be offered</w:t>
      </w:r>
    </w:p>
    <w:p>
      <w:pPr>
        <w:pStyle w:val="ListParagraph"/>
        <w:numPr>
          <w:ilvl w:val="0"/>
          <w:numId w:val="1"/>
        </w:numPr>
        <w:spacing w:after="60"/>
      </w:pPr>
      <w:r>
        <w:rPr>
          <w:color w:val="1C3A38"/>
          <w:sz w:val="20"/>
          <w:szCs w:val="20"/>
        </w:rPr>
        <w:t xml:space="preserve">Controlled drugs are stored, administered and recorded in line with legal requirements, with two staff members present for key checks</w:t>
      </w:r>
    </w:p>
    <w:p>
      <w:pPr>
        <w:spacing w:after="100" w:before="200"/>
      </w:pPr>
      <w:r>
        <w:rPr>
          <w:b/>
          <w:bCs/>
          <w:color w:val="2E6E64"/>
          <w:sz w:val="24"/>
          <w:szCs w:val="24"/>
        </w:rPr>
        <w:t xml:space="preserve">Storage</w:t>
      </w:r>
    </w:p>
    <w:p>
      <w:pPr>
        <w:pStyle w:val="ListParagraph"/>
        <w:numPr>
          <w:ilvl w:val="0"/>
          <w:numId w:val="1"/>
        </w:numPr>
        <w:spacing w:after="60"/>
      </w:pPr>
      <w:r>
        <w:rPr>
          <w:color w:val="1C3A38"/>
          <w:sz w:val="20"/>
          <w:szCs w:val="20"/>
        </w:rPr>
        <w:t xml:space="preserve">Medication is stored in a locked cabinet or trolley at all times when unattended</w:t>
      </w:r>
    </w:p>
    <w:p>
      <w:pPr>
        <w:pStyle w:val="ListParagraph"/>
        <w:numPr>
          <w:ilvl w:val="0"/>
          <w:numId w:val="1"/>
        </w:numPr>
        <w:spacing w:after="60"/>
      </w:pPr>
      <w:r>
        <w:rPr>
          <w:color w:val="1C3A38"/>
          <w:sz w:val="20"/>
          <w:szCs w:val="20"/>
        </w:rPr>
        <w:t xml:space="preserve">Fridge-stored medication is kept between 2°C and 8°C, checked and logged daily</w:t>
      </w:r>
    </w:p>
    <w:p>
      <w:pPr>
        <w:pStyle w:val="ListParagraph"/>
        <w:numPr>
          <w:ilvl w:val="0"/>
          <w:numId w:val="1"/>
        </w:numPr>
        <w:spacing w:after="60"/>
      </w:pPr>
      <w:r>
        <w:rPr>
          <w:color w:val="1C3A38"/>
          <w:sz w:val="20"/>
          <w:szCs w:val="20"/>
        </w:rPr>
        <w:t xml:space="preserve">Medication is stored in its original packaging with the label intact</w:t>
      </w:r>
    </w:p>
    <w:p>
      <w:pPr>
        <w:spacing w:after="100" w:before="200"/>
      </w:pPr>
      <w:r>
        <w:rPr>
          <w:b/>
          <w:bCs/>
          <w:color w:val="2E6E64"/>
          <w:sz w:val="24"/>
          <w:szCs w:val="24"/>
        </w:rPr>
        <w:t xml:space="preserve">Errors and Near Misses</w:t>
      </w:r>
    </w:p>
    <w:p>
      <w:pPr>
        <w:spacing w:after="100"/>
      </w:pPr>
      <w:r>
        <w:rPr>
          <w:i w:val="false"/>
          <w:iCs w:val="false"/>
          <w:color w:val="1C3A38"/>
          <w:sz w:val="20"/>
          <w:szCs w:val="20"/>
        </w:rPr>
        <w:t xml:space="preserve">Any medication error or near miss must be reported immediately to a senior member of staff, recorded on an incident form, and reviewed to identify what can be learned. Staff will never be penalised for reporting an honest error quickly — but concealing one is treated as a serious disciplinary matter.</w:t>
      </w:r>
    </w:p>
    <w:p>
      <w:pPr>
        <w:spacing w:after="100" w:before="200"/>
      </w:pPr>
      <w:r>
        <w:rPr>
          <w:b/>
          <w:bCs/>
          <w:color w:val="2E6E64"/>
          <w:sz w:val="24"/>
          <w:szCs w:val="24"/>
        </w:rPr>
        <w:t xml:space="preserve">Ordering, Returns and Disposal</w:t>
      </w:r>
    </w:p>
    <w:p>
      <w:pPr>
        <w:spacing w:after="100"/>
      </w:pPr>
      <w:r>
        <w:rPr>
          <w:i w:val="false"/>
          <w:iCs w:val="false"/>
          <w:color w:val="1C3A38"/>
          <w:sz w:val="20"/>
          <w:szCs w:val="20"/>
        </w:rPr>
        <w:t xml:space="preserve">Repeat medication is ordered in good time to avoid running out. Unused or returned medication is recorded and disposed of through an approved pharmacy or waste route, never in household waste.</w:t>
      </w:r>
    </w:p>
    <w:p>
      <w:pPr>
        <w:spacing w:after="100" w:before="200"/>
      </w:pPr>
      <w:r>
        <w:rPr>
          <w:b/>
          <w:bCs/>
          <w:color w:val="2E6E64"/>
          <w:sz w:val="24"/>
          <w:szCs w:val="24"/>
        </w:rPr>
        <w:t xml:space="preserve">Responsibilities</w:t>
      </w:r>
    </w:p>
    <w:p>
      <w:pPr>
        <w:spacing w:after="120"/>
      </w:pPr>
      <w:r>
        <w:rPr>
          <w:b/>
          <w:bCs/>
          <w:color w:val="1C3A38"/>
          <w:sz w:val="20"/>
          <w:szCs w:val="20"/>
        </w:rPr>
        <w:t xml:space="preserve">Medication Lead: </w:t>
      </w:r>
      <w:r>
        <w:rPr>
          <w:color w:val="999999"/>
          <w:sz w:val="20"/>
          <w:szCs w:val="20"/>
        </w:rPr>
        <w:t xml:space="preserve">_______________________________________________</w:t>
      </w:r>
    </w:p>
    <w:p>
      <w:pPr>
        <w:spacing w:after="100"/>
      </w:pPr>
      <w:r>
        <w:rPr>
          <w:i w:val="false"/>
          <w:iCs w:val="false"/>
          <w:color w:val="1C3A38"/>
          <w:sz w:val="20"/>
          <w:szCs w:val="20"/>
        </w:rPr>
        <w:t xml:space="preserve">All staff administering medication must have current, evidenced training and an up-to-date competency assessment.</w:t>
      </w:r>
    </w:p>
    <w:p>
      <w:pPr>
        <w:spacing w:after="100" w:before="200"/>
      </w:pPr>
      <w:r>
        <w:rPr>
          <w:b/>
          <w:bCs/>
          <w:color w:val="2E6E64"/>
          <w:sz w:val="24"/>
          <w:szCs w:val="24"/>
        </w:rPr>
        <w:t xml:space="preserve">Related Legislation &amp; Guidance</w:t>
      </w:r>
    </w:p>
    <w:p>
      <w:pPr>
        <w:pStyle w:val="ListParagraph"/>
        <w:numPr>
          <w:ilvl w:val="0"/>
          <w:numId w:val="1"/>
        </w:numPr>
        <w:spacing w:after="60"/>
      </w:pPr>
      <w:r>
        <w:rPr>
          <w:color w:val="1C3A38"/>
          <w:sz w:val="20"/>
          <w:szCs w:val="20"/>
        </w:rPr>
        <w:t xml:space="preserve">Health and Social Care Act 2008 (Regulated Activities) Regulations 2014</w:t>
      </w:r>
    </w:p>
    <w:p>
      <w:pPr>
        <w:pStyle w:val="ListParagraph"/>
        <w:numPr>
          <w:ilvl w:val="0"/>
          <w:numId w:val="1"/>
        </w:numPr>
        <w:spacing w:after="60"/>
      </w:pPr>
      <w:r>
        <w:rPr>
          <w:color w:val="1C3A38"/>
          <w:sz w:val="20"/>
          <w:szCs w:val="20"/>
        </w:rPr>
        <w:t xml:space="preserve">NICE guideline SC1: Managing medicines in care homes</w:t>
      </w:r>
    </w:p>
    <w:p>
      <w:pPr>
        <w:pStyle w:val="ListParagraph"/>
        <w:numPr>
          <w:ilvl w:val="0"/>
          <w:numId w:val="1"/>
        </w:numPr>
        <w:spacing w:after="60"/>
      </w:pPr>
      <w:r>
        <w:rPr>
          <w:color w:val="1C3A38"/>
          <w:sz w:val="20"/>
          <w:szCs w:val="20"/>
        </w:rPr>
        <w:t xml:space="preserve">Misuse of Drugs Regulations 2001 (controlled drugs)</w:t>
      </w:r>
    </w:p>
    <w:p>
      <w:pPr>
        <w:spacing w:after="100" w:before="200"/>
      </w:pPr>
      <w:r>
        <w:rPr>
          <w:b/>
          <w:bCs/>
          <w:color w:val="2E6E64"/>
          <w:sz w:val="24"/>
          <w:szCs w:val="24"/>
        </w:rPr>
        <w:t xml:space="preserve">Review</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200"/>
            <w:shd w:fill="F2F6F4" w:val="clear"/>
            <w:tcMar>
              <w:top w:type="dxa" w:w="100"/>
              <w:left w:type="dxa" w:w="120"/>
              <w:bottom w:type="dxa" w:w="100"/>
              <w:right w:type="dxa" w:w="120"/>
            </w:tcMar>
          </w:tcPr>
          <w:p>
            <w:r>
              <w:rPr>
                <w:b/>
                <w:bCs/>
                <w:color w:val="1C3A38"/>
                <w:sz w:val="18"/>
                <w:szCs w:val="18"/>
              </w:rPr>
              <w:t xml:space="preserve">Policy owner:</w:t>
            </w:r>
          </w:p>
        </w:tc>
        <w:tc>
          <w:tcPr>
            <w:tcW w:type="dxa" w:w="2800"/>
            <w:tcMar>
              <w:top w:type="dxa" w:w="100"/>
              <w:left w:type="dxa" w:w="120"/>
              <w:bottom w:type="dxa" w:w="100"/>
              <w:right w:type="dxa" w:w="120"/>
            </w:tcMar>
          </w:tcPr>
          <w:p>
            <w:r>
              <w:rPr>
                <w:b w:val="false"/>
                <w:bCs w:val="false"/>
                <w:color w:val="1C3A38"/>
                <w:sz w:val="18"/>
                <w:szCs w:val="18"/>
              </w:rPr>
              <w:t xml:space="preserve"/>
            </w:r>
          </w:p>
        </w:tc>
        <w:tc>
          <w:tcPr>
            <w:tcW w:type="dxa" w:w="1800"/>
            <w:shd w:fill="F2F6F4" w:val="clear"/>
            <w:tcMar>
              <w:top w:type="dxa" w:w="100"/>
              <w:left w:type="dxa" w:w="120"/>
              <w:bottom w:type="dxa" w:w="100"/>
              <w:right w:type="dxa" w:w="120"/>
            </w:tcMar>
          </w:tcPr>
          <w:p>
            <w:r>
              <w:rPr>
                <w:b/>
                <w:bCs/>
                <w:color w:val="1C3A38"/>
                <w:sz w:val="18"/>
                <w:szCs w:val="18"/>
              </w:rPr>
              <w:t xml:space="preserve">Version:</w:t>
            </w:r>
          </w:p>
        </w:tc>
        <w:tc>
          <w:tcPr>
            <w:tcW w:type="dxa" w:w="2200"/>
            <w:tcMar>
              <w:top w:type="dxa" w:w="100"/>
              <w:left w:type="dxa" w:w="120"/>
              <w:bottom w:type="dxa" w:w="100"/>
              <w:right w:type="dxa" w:w="120"/>
            </w:tcMar>
          </w:tcPr>
          <w:p>
            <w:r>
              <w:rPr>
                <w:b w:val="false"/>
                <w:bCs w:val="false"/>
                <w:color w:val="1C3A38"/>
                <w:sz w:val="18"/>
                <w:szCs w:val="18"/>
              </w:rPr>
              <w:t xml:space="preserve">1.0</w:t>
            </w:r>
          </w:p>
        </w:tc>
      </w:tr>
      <w:tr>
        <w:tc>
          <w:tcPr>
            <w:tcW w:type="dxa" w:w="2200"/>
            <w:shd w:fill="F2F6F4" w:val="clear"/>
            <w:tcMar>
              <w:top w:type="dxa" w:w="100"/>
              <w:left w:type="dxa" w:w="120"/>
              <w:bottom w:type="dxa" w:w="100"/>
              <w:right w:type="dxa" w:w="120"/>
            </w:tcMar>
          </w:tcPr>
          <w:p>
            <w:r>
              <w:rPr>
                <w:b/>
                <w:bCs/>
                <w:color w:val="1C3A38"/>
                <w:sz w:val="18"/>
                <w:szCs w:val="18"/>
              </w:rPr>
              <w:t xml:space="preserve">Date approved:</w:t>
            </w:r>
          </w:p>
        </w:tc>
        <w:tc>
          <w:tcPr>
            <w:tcW w:type="dxa" w:w="2800"/>
            <w:tcMar>
              <w:top w:type="dxa" w:w="100"/>
              <w:left w:type="dxa" w:w="120"/>
              <w:bottom w:type="dxa" w:w="100"/>
              <w:right w:type="dxa" w:w="120"/>
            </w:tcMar>
          </w:tcPr>
          <w:p>
            <w:r>
              <w:rPr>
                <w:b w:val="false"/>
                <w:bCs w:val="false"/>
                <w:color w:val="1C3A38"/>
                <w:sz w:val="18"/>
                <w:szCs w:val="18"/>
              </w:rPr>
              <w:t xml:space="preserve"/>
            </w:r>
          </w:p>
        </w:tc>
        <w:tc>
          <w:tcPr>
            <w:tcW w:type="dxa" w:w="1800"/>
            <w:shd w:fill="F2F6F4" w:val="clear"/>
            <w:tcMar>
              <w:top w:type="dxa" w:w="100"/>
              <w:left w:type="dxa" w:w="120"/>
              <w:bottom w:type="dxa" w:w="100"/>
              <w:right w:type="dxa" w:w="120"/>
            </w:tcMar>
          </w:tcPr>
          <w:p>
            <w:r>
              <w:rPr>
                <w:b/>
                <w:bCs/>
                <w:color w:val="1C3A38"/>
                <w:sz w:val="18"/>
                <w:szCs w:val="18"/>
              </w:rPr>
              <w:t xml:space="preserve">Next review:</w:t>
            </w:r>
          </w:p>
        </w:tc>
        <w:tc>
          <w:tcPr>
            <w:tcW w:type="dxa" w:w="2200"/>
            <w:tcMar>
              <w:top w:type="dxa" w:w="100"/>
              <w:left w:type="dxa" w:w="120"/>
              <w:bottom w:type="dxa" w:w="100"/>
              <w:right w:type="dxa" w:w="120"/>
            </w:tcMar>
          </w:tcPr>
          <w:p>
            <w:r>
              <w:rPr>
                <w:b w:val="false"/>
                <w:bCs w:val="false"/>
                <w:color w:val="1C3A38"/>
                <w:sz w:val="18"/>
                <w:szCs w:val="18"/>
              </w:rPr>
              <w:t xml:space="preserve"/>
            </w:r>
          </w:p>
        </w:tc>
      </w:tr>
    </w:tbl>
    <w:sectPr>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2026-07-24T20:39:14.595Z</dcterms:created>
  <dcterms:modified xsi:type="dcterms:W3CDTF">2026-07-24T20:39:14.595Z</dcterms:modified>
</cp:coreProperties>
</file>

<file path=docProps/custom.xml><?xml version="1.0" encoding="utf-8"?>
<Properties xmlns="http://schemas.openxmlformats.org/officeDocument/2006/custom-properties" xmlns:vt="http://schemas.openxmlformats.org/officeDocument/2006/docPropsVTypes"/>
</file>