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Whistleblowing Policy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Template — adapt to your service's own procedures before use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Purpose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This policy explains how staff at [Organisation Name] can raise a genuine concern about wrongdoing, risk or malpractice safely, and what happens after they do. It's designed to protect anyone who speaks up in good faith.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What Counts as a Concern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Unsafe care practice, or a risk to the health, safety or wellbeing of a service user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Abuse or neglect, whether suspected or witnessed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Financial malpractice, fraud, or misuse of funds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A breach of regulation, law, or the organisation's own policies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A cover-up of any of the above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How to Raise a Concern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In the first instance, raise the concern with your line manager. If your line manager is implicated, or you feel unable to raise it with them, you can instead contact: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Senior manager / whistleblowing contact: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If the concern is serious, or you feel it hasn't been taken seriously internally, you're entitled to report it directly to the Care Quality Commission (CQC) at www.cqc.org.uk/content/report-concern-if-you-are-member-staff, or to your Local Authority Safeguarding Team.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What Happens Next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Your concern will be taken seriously and investigated promptly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You will be kept informed of progress, so far as confidentiality allows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Your identity will be protected wherever possible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Protection for Staff Raising Concerns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No one will be penalised, disadvantaged, or treated less favourably for raising a genuine concern in good faith, even if the concern turns out to be unfounded. This is protected under the Public Interest Disclosure Act 1998. Deliberately making a false allegation in bad faith is treated differently, and may be subject to disciplinary action.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Responsibilities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Whistleblowing Lead: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Related Legislation &amp; Guidance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Public Interest Disclosure Act 1998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C3A38"/>
          <w:sz w:val="20"/>
          <w:szCs w:val="20"/>
        </w:rPr>
        <w:t xml:space="preserve">Care Quality Commission (CQC) guidance for whistleblowers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Review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Policy owner:</w:t>
            </w:r>
          </w:p>
        </w:tc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Version: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>1.0</w:t>
            </w:r>
          </w:p>
        </w:tc>
      </w:tr>
      <w:tr>
        <w:tc>
          <w:tcPr>
            <w:tcW w:type="dxa" w:w="22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Date approved:</w:t>
            </w:r>
          </w:p>
        </w:tc>
        <w:tc>
          <w:tcPr>
            <w:tcW w:type="dxa" w:w="28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shd w:fill="F2F6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Next review: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2026-07-24T20:39:14.851Z</dcterms:created>
  <dcterms:modified xsi:type="dcterms:W3CDTF">2026-07-24T20:39:14.851Z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